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4D70" w14:textId="3DDBD668" w:rsidR="00F05624" w:rsidRDefault="008F5A47" w:rsidP="00F05624">
      <w:pPr>
        <w:pStyle w:val="NormalWeb"/>
        <w:jc w:val="center"/>
        <w:rPr>
          <w:rFonts w:ascii="Arial" w:hAnsi="Arial" w:cs="Arial"/>
        </w:rPr>
      </w:pPr>
      <w:bookmarkStart w:id="0" w:name="sec13gasbfour"/>
      <w:r>
        <w:rPr>
          <w:rFonts w:ascii="Arial" w:hAnsi="Arial" w:cs="Arial"/>
          <w:b/>
          <w:bCs/>
        </w:rPr>
        <w:t>M</w:t>
      </w:r>
      <w:r w:rsidR="00F05624">
        <w:rPr>
          <w:rFonts w:ascii="Arial" w:hAnsi="Arial" w:cs="Arial"/>
          <w:b/>
          <w:bCs/>
        </w:rPr>
        <w:t>ANAGEMENT’S DISCUSSION AND ANALYSIS (MD&amp;A)</w:t>
      </w:r>
      <w:bookmarkEnd w:id="0"/>
    </w:p>
    <w:p w14:paraId="19CEB89A" w14:textId="1DDA24EB" w:rsidR="00F05624" w:rsidRDefault="0009303F" w:rsidP="0009303F">
      <w:pPr>
        <w:pStyle w:val="NormalWeb"/>
        <w:rPr>
          <w:rFonts w:ascii="Arial" w:hAnsi="Arial" w:cs="Arial"/>
        </w:rPr>
      </w:pPr>
      <w:r w:rsidRPr="0009303F">
        <w:rPr>
          <w:rFonts w:ascii="Arial" w:hAnsi="Arial" w:cs="Arial"/>
        </w:rPr>
        <w:t xml:space="preserve">This Statement continues the requirement that the basic financial statements be preceded by management’s discussion and analysis (MD&amp;A), which is presented as required supplementary information (RSI). MD&amp;A provides an objective and easily readable analysis of the government’s financial activities based on currently known facts, decisions, or conditions and presents comparisons between the current year and the prior year. This Statement requires that the information presented in MD&amp;A be limited to the related topics discussed in five sections: (1) Overview of the Financial Statements, (2) Financial Summary, (3) Detailed Analyses, (4) Significant Capital Asset and Long-Term Financing Activity, and (5) Currently Known Facts, Decisions, or Conditions. Furthermore, this Statement stresses that the detailed analyses should explain </w:t>
      </w:r>
      <w:r w:rsidRPr="00586FE2">
        <w:rPr>
          <w:rFonts w:ascii="Arial" w:hAnsi="Arial" w:cs="Arial"/>
          <w:b/>
          <w:bCs/>
          <w:i/>
          <w:iCs/>
        </w:rPr>
        <w:t>why</w:t>
      </w:r>
      <w:r w:rsidRPr="0009303F">
        <w:rPr>
          <w:rFonts w:ascii="Arial" w:hAnsi="Arial" w:cs="Arial"/>
        </w:rPr>
        <w:t xml:space="preserve"> balances and results of operations changed rather than simply presenting the amounts or percentages by which they changed. This Statement emphasizes that the analysis provided in MD&amp;A should avoid unnecessary duplication by not repeating explanations that may be relevant to multiple sections and that “boilerplate” discussions should be avoided by presenting only the most relevant information, focused on the primary government. In addition, </w:t>
      </w:r>
      <w:r w:rsidR="00586FE2">
        <w:rPr>
          <w:rFonts w:ascii="Arial" w:hAnsi="Arial" w:cs="Arial"/>
        </w:rPr>
        <w:t xml:space="preserve">the </w:t>
      </w:r>
      <w:r w:rsidRPr="0009303F">
        <w:rPr>
          <w:rFonts w:ascii="Arial" w:hAnsi="Arial" w:cs="Arial"/>
        </w:rPr>
        <w:t xml:space="preserve">information included in MD&amp;A distinguish between that of the primary government and its discretely presented component units. </w:t>
      </w:r>
    </w:p>
    <w:p w14:paraId="556562C6" w14:textId="64331F4B" w:rsidR="00810F1A" w:rsidRPr="00810F1A" w:rsidRDefault="00810F1A" w:rsidP="00810F1A">
      <w:pPr>
        <w:pStyle w:val="NormalWeb"/>
        <w:rPr>
          <w:rFonts w:ascii="Arial" w:hAnsi="Arial" w:cs="Arial"/>
        </w:rPr>
      </w:pPr>
      <w:r w:rsidRPr="00810F1A">
        <w:rPr>
          <w:rFonts w:ascii="Arial" w:hAnsi="Arial" w:cs="Arial"/>
        </w:rPr>
        <w:t>The basic financial statements should be preceded by MD&amp;A, which is required supplementary information (RSI). MD&amp;A should provide an objective and easily readable analysis of the government’s financial activities based on currently known facts, decisions, or conditions. The financial managers of governments are knowledgeable about (a) the transactions and events that are reflected in the government’s financial report, (b) the fiscal policies that govern its operations and decision making, and (c) conditions that may have a significant effect on financial position or results of operations. MD&amp;A provides financial managers with the opportunity to present both short-term and long-term analyses of the government’s activities.</w:t>
      </w:r>
      <w:r w:rsidR="00586FE2">
        <w:rPr>
          <w:rFonts w:ascii="Arial" w:hAnsi="Arial" w:cs="Arial"/>
        </w:rPr>
        <w:t xml:space="preserve">  </w:t>
      </w:r>
      <w:r w:rsidRPr="00810F1A">
        <w:rPr>
          <w:rFonts w:ascii="Arial" w:hAnsi="Arial" w:cs="Arial"/>
        </w:rPr>
        <w:t xml:space="preserve">MD&amp;A should be written in a manner that can be understood by users who may not have a detailed knowledge of governmental accounting and financial reporting. MD&amp;A also should include explanations and interpretations that help users understand the information provided. </w:t>
      </w:r>
    </w:p>
    <w:p w14:paraId="2D8B1D13" w14:textId="4B127C7F" w:rsidR="00810F1A" w:rsidRPr="00810F1A" w:rsidRDefault="00810F1A" w:rsidP="00810F1A">
      <w:pPr>
        <w:pStyle w:val="NormalWeb"/>
        <w:rPr>
          <w:rFonts w:ascii="Arial" w:hAnsi="Arial" w:cs="Arial"/>
        </w:rPr>
      </w:pPr>
      <w:r w:rsidRPr="00810F1A">
        <w:rPr>
          <w:rFonts w:ascii="Arial" w:hAnsi="Arial" w:cs="Arial"/>
        </w:rPr>
        <w:t xml:space="preserve">MD&amp;A should discuss the current-year balances and results of operations in comparison with the prior year, with emphasis on the current year. This analysis should be fact based and should discuss the activities that have had either a significant positive impact or a significant negative impact on the government’s balances and results of operations in comparison with the prior year. The analysis should assist users in understanding why balances and results of operations reported in the current year’s financial statements changed from the prior year rather than simply presenting the amounts or percentages by which they changed. The use of charts, graphs, and tables is encouraged to enhance the understandability of the information. </w:t>
      </w:r>
    </w:p>
    <w:p w14:paraId="4CE71EE5" w14:textId="355FB0B7" w:rsidR="00810F1A" w:rsidRPr="00810F1A" w:rsidRDefault="00810F1A" w:rsidP="00810F1A">
      <w:pPr>
        <w:pStyle w:val="NormalWeb"/>
        <w:rPr>
          <w:rFonts w:ascii="Arial" w:hAnsi="Arial" w:cs="Arial"/>
        </w:rPr>
      </w:pPr>
      <w:r w:rsidRPr="00810F1A">
        <w:rPr>
          <w:rFonts w:ascii="Arial" w:hAnsi="Arial" w:cs="Arial"/>
        </w:rPr>
        <w:t xml:space="preserve">If possible, the analysis in MD&amp;A should avoid unnecessary duplication. Certain explanations may be relevant to the discussion in multiple sections of MD&amp;A. Those </w:t>
      </w:r>
      <w:r w:rsidRPr="00810F1A">
        <w:rPr>
          <w:rFonts w:ascii="Arial" w:hAnsi="Arial" w:cs="Arial"/>
        </w:rPr>
        <w:lastRenderedPageBreak/>
        <w:t xml:space="preserve">explanations may be repeated after they have been presented initially, but that is not required. Determining whether to repeat explanations within multiple sections of MD&amp;A is a matter of professional judgment. For example, a tax rate increase enacted during the year may affect the results in both the government-wide financial statements and the governmental fund financial statements. After the increase is discussed in the analysis of the government-wide financial statements, that discussion could be referenced in the analysis of major funds, rather than duplicated, unless there is a significant change resulting from the use of a different measurement focus. </w:t>
      </w:r>
    </w:p>
    <w:p w14:paraId="59990B7C" w14:textId="028D3775" w:rsidR="00810F1A" w:rsidRPr="00810F1A" w:rsidRDefault="00810F1A" w:rsidP="00810F1A">
      <w:pPr>
        <w:pStyle w:val="NormalWeb"/>
        <w:rPr>
          <w:rFonts w:ascii="Arial" w:hAnsi="Arial" w:cs="Arial"/>
        </w:rPr>
      </w:pPr>
      <w:r w:rsidRPr="00810F1A">
        <w:rPr>
          <w:rFonts w:ascii="Arial" w:hAnsi="Arial" w:cs="Arial"/>
        </w:rPr>
        <w:t xml:space="preserve">MD&amp;A should focus on the primary government. Information included in MD&amp;A should distinguish between that of the primary government and its discretely presented component units. Determining whether to discuss matters related to a discretely presented component unit is a matter of professional judgment and should be based on the nature and significance of the individual component unit’s relationship to the primary government. If appropriate, the reporting entity’s MD&amp;A should refer users to the component unit’s separately issued financial statements. </w:t>
      </w:r>
    </w:p>
    <w:p w14:paraId="59EBB466" w14:textId="443F568E" w:rsidR="0009303F" w:rsidRDefault="00810F1A" w:rsidP="00810F1A">
      <w:pPr>
        <w:pStyle w:val="NormalWeb"/>
        <w:rPr>
          <w:rFonts w:ascii="Arial" w:hAnsi="Arial" w:cs="Arial"/>
        </w:rPr>
      </w:pPr>
      <w:r w:rsidRPr="00810F1A">
        <w:rPr>
          <w:rFonts w:ascii="Arial" w:hAnsi="Arial" w:cs="Arial"/>
        </w:rPr>
        <w:t>MD&amp;A requirements are discussed below in general rather than specific terms to emphasize that financial managers should include the explanations that are most relevant to the information presented each year and should avoid “boilerplate” discussion. The information presented should be confined to the topics discussed in the five sections outlined below</w:t>
      </w:r>
      <w:r>
        <w:rPr>
          <w:rFonts w:ascii="Arial" w:hAnsi="Arial" w:cs="Arial"/>
        </w:rPr>
        <w:t>.</w:t>
      </w:r>
    </w:p>
    <w:p w14:paraId="206C39AD" w14:textId="72ED6BA6" w:rsidR="00810F1A" w:rsidRDefault="00810F1A" w:rsidP="00810F1A">
      <w:pPr>
        <w:pStyle w:val="NormalWeb"/>
        <w:numPr>
          <w:ilvl w:val="0"/>
          <w:numId w:val="18"/>
        </w:numPr>
        <w:rPr>
          <w:rFonts w:ascii="Arial" w:hAnsi="Arial" w:cs="Arial"/>
        </w:rPr>
      </w:pPr>
      <w:r w:rsidRPr="00810F1A">
        <w:rPr>
          <w:rFonts w:ascii="Arial" w:hAnsi="Arial" w:cs="Arial"/>
          <w:b/>
          <w:bCs/>
          <w:u w:val="single"/>
        </w:rPr>
        <w:t>Overview of the Financial Statements.</w:t>
      </w:r>
      <w:r w:rsidRPr="00810F1A">
        <w:rPr>
          <w:rFonts w:ascii="Arial" w:hAnsi="Arial" w:cs="Arial"/>
        </w:rPr>
        <w:t xml:space="preserve"> </w:t>
      </w:r>
      <w:r>
        <w:rPr>
          <w:rFonts w:ascii="Arial" w:hAnsi="Arial" w:cs="Arial"/>
        </w:rPr>
        <w:t xml:space="preserve"> </w:t>
      </w:r>
    </w:p>
    <w:p w14:paraId="6A9AC5E8" w14:textId="2AE4A3CA" w:rsidR="00810F1A" w:rsidRPr="00810F1A" w:rsidRDefault="00810F1A" w:rsidP="00810F1A">
      <w:pPr>
        <w:pStyle w:val="NormalWeb"/>
        <w:rPr>
          <w:rFonts w:ascii="Arial" w:hAnsi="Arial" w:cs="Arial"/>
        </w:rPr>
      </w:pPr>
      <w:r w:rsidRPr="00810F1A">
        <w:rPr>
          <w:rFonts w:ascii="Arial" w:hAnsi="Arial" w:cs="Arial"/>
        </w:rPr>
        <w:t>An overview of the basic financial statements, including the relationships of the statements to each other. The overview should focus on the significant differences in the types of information the financial statements provide.</w:t>
      </w:r>
    </w:p>
    <w:p w14:paraId="7547C85A" w14:textId="77777777" w:rsidR="00810F1A" w:rsidRDefault="00810F1A" w:rsidP="00810F1A">
      <w:pPr>
        <w:pStyle w:val="NormalWeb"/>
        <w:rPr>
          <w:rFonts w:ascii="Arial" w:hAnsi="Arial" w:cs="Arial"/>
        </w:rPr>
      </w:pPr>
      <w:r w:rsidRPr="00810F1A">
        <w:rPr>
          <w:rFonts w:ascii="Arial" w:hAnsi="Arial" w:cs="Arial"/>
          <w:b/>
          <w:bCs/>
          <w:u w:val="single"/>
        </w:rPr>
        <w:t>b. Financial Summary.</w:t>
      </w:r>
      <w:r w:rsidRPr="00810F1A">
        <w:rPr>
          <w:rFonts w:ascii="Arial" w:hAnsi="Arial" w:cs="Arial"/>
        </w:rPr>
        <w:t xml:space="preserve"> </w:t>
      </w:r>
    </w:p>
    <w:p w14:paraId="4EA74B84" w14:textId="558548D4" w:rsidR="00810F1A" w:rsidRPr="00810F1A" w:rsidRDefault="00810F1A" w:rsidP="00810F1A">
      <w:pPr>
        <w:pStyle w:val="NormalWeb"/>
        <w:rPr>
          <w:rFonts w:ascii="Arial" w:hAnsi="Arial" w:cs="Arial"/>
        </w:rPr>
      </w:pPr>
      <w:r w:rsidRPr="00810F1A">
        <w:rPr>
          <w:rFonts w:ascii="Arial" w:hAnsi="Arial" w:cs="Arial"/>
        </w:rPr>
        <w:t>Condensed financial information derived from the government-wide financial statements comparing the current year to the prior year for both governmental activities and business-type activities. Governments should present the information needed to support their analysis of financial position and results of operations required in subparagraph (c), including the following elements, if applicable:</w:t>
      </w:r>
    </w:p>
    <w:p w14:paraId="0308F8EC" w14:textId="77777777" w:rsidR="00810F1A" w:rsidRPr="00810F1A" w:rsidRDefault="00810F1A" w:rsidP="00810F1A">
      <w:pPr>
        <w:pStyle w:val="NormalWeb"/>
        <w:rPr>
          <w:rFonts w:ascii="Arial" w:hAnsi="Arial" w:cs="Arial"/>
        </w:rPr>
      </w:pPr>
      <w:r w:rsidRPr="00810F1A">
        <w:rPr>
          <w:rFonts w:ascii="Arial" w:hAnsi="Arial" w:cs="Arial"/>
        </w:rPr>
        <w:t>(1) Total assets, distinguishing between capital assets and other assets</w:t>
      </w:r>
    </w:p>
    <w:p w14:paraId="0A4233C7" w14:textId="77777777" w:rsidR="00810F1A" w:rsidRPr="00810F1A" w:rsidRDefault="00810F1A" w:rsidP="00810F1A">
      <w:pPr>
        <w:pStyle w:val="NormalWeb"/>
        <w:rPr>
          <w:rFonts w:ascii="Arial" w:hAnsi="Arial" w:cs="Arial"/>
        </w:rPr>
      </w:pPr>
      <w:r w:rsidRPr="00810F1A">
        <w:rPr>
          <w:rFonts w:ascii="Arial" w:hAnsi="Arial" w:cs="Arial"/>
        </w:rPr>
        <w:t>(2) Total deferred outflows of resources</w:t>
      </w:r>
    </w:p>
    <w:p w14:paraId="28C91C0F" w14:textId="77777777" w:rsidR="00810F1A" w:rsidRPr="00810F1A" w:rsidRDefault="00810F1A" w:rsidP="00810F1A">
      <w:pPr>
        <w:pStyle w:val="NormalWeb"/>
        <w:rPr>
          <w:rFonts w:ascii="Arial" w:hAnsi="Arial" w:cs="Arial"/>
        </w:rPr>
      </w:pPr>
      <w:r w:rsidRPr="00810F1A">
        <w:rPr>
          <w:rFonts w:ascii="Arial" w:hAnsi="Arial" w:cs="Arial"/>
        </w:rPr>
        <w:t>(3) Total liabilities, distinguishing between long-term liabilities and other liabilities</w:t>
      </w:r>
    </w:p>
    <w:p w14:paraId="46462FD9" w14:textId="77777777" w:rsidR="00810F1A" w:rsidRPr="00810F1A" w:rsidRDefault="00810F1A" w:rsidP="00810F1A">
      <w:pPr>
        <w:pStyle w:val="NormalWeb"/>
        <w:rPr>
          <w:rFonts w:ascii="Arial" w:hAnsi="Arial" w:cs="Arial"/>
        </w:rPr>
      </w:pPr>
      <w:r w:rsidRPr="00810F1A">
        <w:rPr>
          <w:rFonts w:ascii="Arial" w:hAnsi="Arial" w:cs="Arial"/>
        </w:rPr>
        <w:t>(4) Total deferred inflows of resources</w:t>
      </w:r>
    </w:p>
    <w:p w14:paraId="0DA68292" w14:textId="77777777" w:rsidR="00810F1A" w:rsidRPr="00810F1A" w:rsidRDefault="00810F1A" w:rsidP="00810F1A">
      <w:pPr>
        <w:pStyle w:val="NormalWeb"/>
        <w:rPr>
          <w:rFonts w:ascii="Arial" w:hAnsi="Arial" w:cs="Arial"/>
        </w:rPr>
      </w:pPr>
      <w:r w:rsidRPr="00810F1A">
        <w:rPr>
          <w:rFonts w:ascii="Arial" w:hAnsi="Arial" w:cs="Arial"/>
        </w:rPr>
        <w:lastRenderedPageBreak/>
        <w:t>(5) Total net position, distinguishing between the net investment in capital assets, restricted net position, and unrestricted net position</w:t>
      </w:r>
    </w:p>
    <w:p w14:paraId="47EBD808" w14:textId="77777777" w:rsidR="00810F1A" w:rsidRPr="00810F1A" w:rsidRDefault="00810F1A" w:rsidP="00810F1A">
      <w:pPr>
        <w:pStyle w:val="NormalWeb"/>
        <w:rPr>
          <w:rFonts w:ascii="Arial" w:hAnsi="Arial" w:cs="Arial"/>
        </w:rPr>
      </w:pPr>
      <w:r w:rsidRPr="00810F1A">
        <w:rPr>
          <w:rFonts w:ascii="Arial" w:hAnsi="Arial" w:cs="Arial"/>
        </w:rPr>
        <w:t>(6) Program revenues, by major source, distinguishing between charges for services, operating grants and contributions, and capital grants and contributions</w:t>
      </w:r>
    </w:p>
    <w:p w14:paraId="3DCB7F33" w14:textId="77777777" w:rsidR="00810F1A" w:rsidRPr="00810F1A" w:rsidRDefault="00810F1A" w:rsidP="00810F1A">
      <w:pPr>
        <w:pStyle w:val="NormalWeb"/>
        <w:rPr>
          <w:rFonts w:ascii="Arial" w:hAnsi="Arial" w:cs="Arial"/>
        </w:rPr>
      </w:pPr>
      <w:r w:rsidRPr="00810F1A">
        <w:rPr>
          <w:rFonts w:ascii="Arial" w:hAnsi="Arial" w:cs="Arial"/>
        </w:rPr>
        <w:t>(7) General revenues, by major source</w:t>
      </w:r>
    </w:p>
    <w:p w14:paraId="42DBAEA1" w14:textId="77777777" w:rsidR="00810F1A" w:rsidRPr="00810F1A" w:rsidRDefault="00810F1A" w:rsidP="00810F1A">
      <w:pPr>
        <w:pStyle w:val="NormalWeb"/>
        <w:rPr>
          <w:rFonts w:ascii="Arial" w:hAnsi="Arial" w:cs="Arial"/>
        </w:rPr>
      </w:pPr>
      <w:r w:rsidRPr="00810F1A">
        <w:rPr>
          <w:rFonts w:ascii="Arial" w:hAnsi="Arial" w:cs="Arial"/>
        </w:rPr>
        <w:t>(8) Total revenues</w:t>
      </w:r>
    </w:p>
    <w:p w14:paraId="00C72DEF" w14:textId="77777777" w:rsidR="00810F1A" w:rsidRPr="00810F1A" w:rsidRDefault="00810F1A" w:rsidP="00810F1A">
      <w:pPr>
        <w:pStyle w:val="NormalWeb"/>
        <w:rPr>
          <w:rFonts w:ascii="Arial" w:hAnsi="Arial" w:cs="Arial"/>
        </w:rPr>
      </w:pPr>
      <w:r w:rsidRPr="00810F1A">
        <w:rPr>
          <w:rFonts w:ascii="Arial" w:hAnsi="Arial" w:cs="Arial"/>
        </w:rPr>
        <w:t>(9) Program expenses, at a minimum by function or identifiable activity, as appropriate</w:t>
      </w:r>
    </w:p>
    <w:p w14:paraId="7439DC53" w14:textId="77777777" w:rsidR="00810F1A" w:rsidRPr="00810F1A" w:rsidRDefault="00810F1A" w:rsidP="00810F1A">
      <w:pPr>
        <w:pStyle w:val="NormalWeb"/>
        <w:rPr>
          <w:rFonts w:ascii="Arial" w:hAnsi="Arial" w:cs="Arial"/>
        </w:rPr>
      </w:pPr>
      <w:r w:rsidRPr="00810F1A">
        <w:rPr>
          <w:rFonts w:ascii="Arial" w:hAnsi="Arial" w:cs="Arial"/>
        </w:rPr>
        <w:t>(10) Total expenses</w:t>
      </w:r>
    </w:p>
    <w:p w14:paraId="6AC64653" w14:textId="77777777" w:rsidR="00810F1A" w:rsidRPr="00810F1A" w:rsidRDefault="00810F1A" w:rsidP="00810F1A">
      <w:pPr>
        <w:pStyle w:val="NormalWeb"/>
        <w:rPr>
          <w:rFonts w:ascii="Arial" w:hAnsi="Arial" w:cs="Arial"/>
        </w:rPr>
      </w:pPr>
      <w:r w:rsidRPr="00810F1A">
        <w:rPr>
          <w:rFonts w:ascii="Arial" w:hAnsi="Arial" w:cs="Arial"/>
        </w:rPr>
        <w:t>(11) Excess (deficiency) before contributions to term and permanent endowments or permanent fund principal, transfers, and unusual or infrequent items</w:t>
      </w:r>
    </w:p>
    <w:p w14:paraId="5384D25E" w14:textId="77777777" w:rsidR="00810F1A" w:rsidRPr="00810F1A" w:rsidRDefault="00810F1A" w:rsidP="00810F1A">
      <w:pPr>
        <w:pStyle w:val="NormalWeb"/>
        <w:rPr>
          <w:rFonts w:ascii="Arial" w:hAnsi="Arial" w:cs="Arial"/>
        </w:rPr>
      </w:pPr>
      <w:r w:rsidRPr="00810F1A">
        <w:rPr>
          <w:rFonts w:ascii="Arial" w:hAnsi="Arial" w:cs="Arial"/>
        </w:rPr>
        <w:t>(12) Contributions to term and permanent endowments or permanent fund principal</w:t>
      </w:r>
    </w:p>
    <w:p w14:paraId="29872F80" w14:textId="77777777" w:rsidR="00810F1A" w:rsidRPr="00810F1A" w:rsidRDefault="00810F1A" w:rsidP="00810F1A">
      <w:pPr>
        <w:pStyle w:val="NormalWeb"/>
        <w:rPr>
          <w:rFonts w:ascii="Arial" w:hAnsi="Arial" w:cs="Arial"/>
        </w:rPr>
      </w:pPr>
      <w:r w:rsidRPr="00810F1A">
        <w:rPr>
          <w:rFonts w:ascii="Arial" w:hAnsi="Arial" w:cs="Arial"/>
        </w:rPr>
        <w:t>(13) Transfers</w:t>
      </w:r>
    </w:p>
    <w:p w14:paraId="423602B0" w14:textId="77777777" w:rsidR="00810F1A" w:rsidRPr="00810F1A" w:rsidRDefault="00810F1A" w:rsidP="00810F1A">
      <w:pPr>
        <w:pStyle w:val="NormalWeb"/>
        <w:rPr>
          <w:rFonts w:ascii="Arial" w:hAnsi="Arial" w:cs="Arial"/>
        </w:rPr>
      </w:pPr>
      <w:r w:rsidRPr="00810F1A">
        <w:rPr>
          <w:rFonts w:ascii="Arial" w:hAnsi="Arial" w:cs="Arial"/>
        </w:rPr>
        <w:t>(14) Unusual or infrequent items</w:t>
      </w:r>
    </w:p>
    <w:p w14:paraId="2D11F4D4" w14:textId="77777777" w:rsidR="00810F1A" w:rsidRPr="00810F1A" w:rsidRDefault="00810F1A" w:rsidP="00810F1A">
      <w:pPr>
        <w:pStyle w:val="NormalWeb"/>
        <w:rPr>
          <w:rFonts w:ascii="Arial" w:hAnsi="Arial" w:cs="Arial"/>
        </w:rPr>
      </w:pPr>
      <w:r w:rsidRPr="00810F1A">
        <w:rPr>
          <w:rFonts w:ascii="Arial" w:hAnsi="Arial" w:cs="Arial"/>
        </w:rPr>
        <w:t>(15) Beginning net position</w:t>
      </w:r>
    </w:p>
    <w:p w14:paraId="24EA2928" w14:textId="77777777" w:rsidR="00810F1A" w:rsidRPr="00810F1A" w:rsidRDefault="00810F1A" w:rsidP="00810F1A">
      <w:pPr>
        <w:pStyle w:val="NormalWeb"/>
        <w:rPr>
          <w:rFonts w:ascii="Arial" w:hAnsi="Arial" w:cs="Arial"/>
        </w:rPr>
      </w:pPr>
      <w:r w:rsidRPr="00810F1A">
        <w:rPr>
          <w:rFonts w:ascii="Arial" w:hAnsi="Arial" w:cs="Arial"/>
        </w:rPr>
        <w:t>(16) Change in net position</w:t>
      </w:r>
    </w:p>
    <w:p w14:paraId="4639A997" w14:textId="77777777" w:rsidR="00810F1A" w:rsidRPr="00810F1A" w:rsidRDefault="00810F1A" w:rsidP="00810F1A">
      <w:pPr>
        <w:pStyle w:val="NormalWeb"/>
        <w:rPr>
          <w:rFonts w:ascii="Arial" w:hAnsi="Arial" w:cs="Arial"/>
        </w:rPr>
      </w:pPr>
      <w:r w:rsidRPr="00810F1A">
        <w:rPr>
          <w:rFonts w:ascii="Arial" w:hAnsi="Arial" w:cs="Arial"/>
        </w:rPr>
        <w:t>(17) Ending net position.</w:t>
      </w:r>
    </w:p>
    <w:p w14:paraId="2D2BD954" w14:textId="77777777" w:rsidR="00810F1A" w:rsidRPr="00810F1A" w:rsidRDefault="00810F1A" w:rsidP="00810F1A">
      <w:pPr>
        <w:pStyle w:val="NormalWeb"/>
        <w:rPr>
          <w:rFonts w:ascii="Arial" w:hAnsi="Arial" w:cs="Arial"/>
          <w:b/>
          <w:bCs/>
          <w:u w:val="single"/>
        </w:rPr>
      </w:pPr>
      <w:r w:rsidRPr="00810F1A">
        <w:rPr>
          <w:rFonts w:ascii="Arial" w:hAnsi="Arial" w:cs="Arial"/>
          <w:b/>
          <w:bCs/>
          <w:u w:val="single"/>
        </w:rPr>
        <w:t>c. Detailed Analyses.</w:t>
      </w:r>
    </w:p>
    <w:p w14:paraId="063D2C55" w14:textId="4E41CFA2" w:rsidR="00810F1A" w:rsidRPr="00810F1A" w:rsidRDefault="00810F1A" w:rsidP="00810F1A">
      <w:pPr>
        <w:pStyle w:val="NormalWeb"/>
        <w:rPr>
          <w:rFonts w:ascii="Arial" w:hAnsi="Arial" w:cs="Arial"/>
        </w:rPr>
      </w:pPr>
      <w:r w:rsidRPr="00810F1A">
        <w:rPr>
          <w:rFonts w:ascii="Arial" w:hAnsi="Arial" w:cs="Arial"/>
        </w:rPr>
        <w:t>(1) An analysis of the primary government’s financial position and results of operations. The analysis should summarize significant changes to both governmental activities and business-type activities as reported in the government-wide financial statements and, if applicable, should refer to the analysis of significant capital asset and long-term financing activity rather than duplicating information. In addition to reporting the amounts or percentages of significant changes, the analysis should explain why those changes from the prior year occurred and indicate the magnitude of those changes. The analysis also should include facts, decisions, or conditions about which the user may not be aware, with the understanding that not all users may be from the government’s geographical area. Additionally, the analysis should include a discussion of significant policy changes (such as changes in tax rates or fees, or the imposition of a hiring freeze) and important economic factors (such as changes in the tax or employment bases) that significantly affected operating results for the year, as applicable.</w:t>
      </w:r>
    </w:p>
    <w:p w14:paraId="73FF0ABA" w14:textId="562C2707" w:rsidR="00810F1A" w:rsidRPr="00810F1A" w:rsidRDefault="00810F1A" w:rsidP="00810F1A">
      <w:pPr>
        <w:pStyle w:val="NormalWeb"/>
        <w:rPr>
          <w:rFonts w:ascii="Arial" w:hAnsi="Arial" w:cs="Arial"/>
        </w:rPr>
      </w:pPr>
      <w:r w:rsidRPr="00810F1A">
        <w:rPr>
          <w:rFonts w:ascii="Arial" w:hAnsi="Arial" w:cs="Arial"/>
        </w:rPr>
        <w:lastRenderedPageBreak/>
        <w:t>(2) An analysis of fund balance or net position and results of operations of each major fund. The analysis should summarize significant changes to each major fund and, if applicable, should refer to the analysis of significant capital asset and long-term</w:t>
      </w:r>
      <w:r>
        <w:rPr>
          <w:rFonts w:ascii="Arial" w:hAnsi="Arial" w:cs="Arial"/>
        </w:rPr>
        <w:t xml:space="preserve"> </w:t>
      </w:r>
      <w:r w:rsidRPr="00810F1A">
        <w:rPr>
          <w:rFonts w:ascii="Arial" w:hAnsi="Arial" w:cs="Arial"/>
        </w:rPr>
        <w:t xml:space="preserve">financing activity than duplicating information. In addition to reporting the amounts or percentages of significant changes, the analysis should explain why those changes from the prior year occurred and indicate the magnitude of those changes. The analysis should include facts, decisions, or conditions about which the user may not be aware, with the understanding that not all users may be from the government’s geographical area. The analysis also should address restrictions, commitments, and assignments that significantly affect the availability of fund resources for future use. </w:t>
      </w:r>
    </w:p>
    <w:p w14:paraId="1A4B6D9F" w14:textId="68D7B765" w:rsidR="00810F1A" w:rsidRPr="00810F1A" w:rsidRDefault="00810F1A" w:rsidP="00810F1A">
      <w:pPr>
        <w:pStyle w:val="NormalWeb"/>
        <w:rPr>
          <w:rFonts w:ascii="Arial" w:hAnsi="Arial" w:cs="Arial"/>
          <w:b/>
          <w:bCs/>
          <w:u w:val="single"/>
        </w:rPr>
      </w:pPr>
      <w:r w:rsidRPr="00810F1A">
        <w:rPr>
          <w:rFonts w:ascii="Arial" w:hAnsi="Arial" w:cs="Arial"/>
          <w:b/>
          <w:bCs/>
          <w:u w:val="single"/>
        </w:rPr>
        <w:t>d. Significant Capital Asset and Long-Term Financing Activity</w:t>
      </w:r>
    </w:p>
    <w:p w14:paraId="5AB91D8A" w14:textId="724ACD34" w:rsidR="00810F1A" w:rsidRPr="00810F1A" w:rsidRDefault="00810F1A" w:rsidP="00810F1A">
      <w:pPr>
        <w:pStyle w:val="NormalWeb"/>
        <w:rPr>
          <w:rFonts w:ascii="Arial" w:hAnsi="Arial" w:cs="Arial"/>
        </w:rPr>
      </w:pPr>
      <w:r w:rsidRPr="00810F1A">
        <w:rPr>
          <w:rFonts w:ascii="Arial" w:hAnsi="Arial" w:cs="Arial"/>
        </w:rPr>
        <w:t>(1) A description of significant capital asset activity during the year, including certain intangible assets.</w:t>
      </w:r>
      <w:r w:rsidR="00586FE2">
        <w:rPr>
          <w:rFonts w:ascii="Arial" w:hAnsi="Arial" w:cs="Arial"/>
        </w:rPr>
        <w:t xml:space="preserve">  </w:t>
      </w:r>
      <w:r w:rsidRPr="00810F1A">
        <w:rPr>
          <w:rFonts w:ascii="Arial" w:hAnsi="Arial" w:cs="Arial"/>
        </w:rPr>
        <w:t>The description should include a discussion of significant additions and disposals of capital assets and changes to commitments made for the acquisition of capital assets. The description should address any significant policy changes and economic factors relevant to the capital asset activity that occurred during the year. If applicable, the description should refer to the detailed analysis of significant capital asset activity rather than duplicating information.</w:t>
      </w:r>
    </w:p>
    <w:p w14:paraId="0AAF1A7E" w14:textId="3AAF485D" w:rsidR="00810F1A" w:rsidRPr="00810F1A" w:rsidRDefault="00810F1A" w:rsidP="00810F1A">
      <w:pPr>
        <w:pStyle w:val="NormalWeb"/>
        <w:rPr>
          <w:rFonts w:ascii="Arial" w:hAnsi="Arial" w:cs="Arial"/>
        </w:rPr>
      </w:pPr>
      <w:r w:rsidRPr="00810F1A">
        <w:rPr>
          <w:rFonts w:ascii="Arial" w:hAnsi="Arial" w:cs="Arial"/>
        </w:rPr>
        <w:t>(2) A description of significant long-term financing activity during the year, including debt, leases, public-private and public-public partnerships (PPPs), and subscription-based information technology arrangements (SBITAs). The description should include a discussion of such agreements entered into, changes in credit ratings, and changes to debt limitations that may affect the financing of planned facilities or services, if any. The description should address any significant policy changes and economic factors relevant to the long-term financing activity that occurred during the year. If applicable, the description should refer to the detailed analysis of significant long-term financing activity rather than duplicating information.</w:t>
      </w:r>
    </w:p>
    <w:p w14:paraId="3892098D" w14:textId="77777777" w:rsidR="00810F1A" w:rsidRDefault="00810F1A" w:rsidP="00810F1A">
      <w:pPr>
        <w:pStyle w:val="NormalWeb"/>
        <w:rPr>
          <w:rFonts w:ascii="Arial" w:hAnsi="Arial" w:cs="Arial"/>
        </w:rPr>
      </w:pPr>
      <w:r w:rsidRPr="00810F1A">
        <w:rPr>
          <w:rFonts w:ascii="Arial" w:hAnsi="Arial" w:cs="Arial"/>
          <w:b/>
          <w:bCs/>
          <w:u w:val="single"/>
        </w:rPr>
        <w:t>e. Currently Known Facts, Decisions, or Conditions.</w:t>
      </w:r>
      <w:r w:rsidRPr="00810F1A">
        <w:rPr>
          <w:rFonts w:ascii="Arial" w:hAnsi="Arial" w:cs="Arial"/>
        </w:rPr>
        <w:t xml:space="preserve"> </w:t>
      </w:r>
    </w:p>
    <w:p w14:paraId="09540DC4" w14:textId="434158AC" w:rsidR="00810F1A" w:rsidRDefault="00810F1A" w:rsidP="00810F1A">
      <w:pPr>
        <w:pStyle w:val="NormalWeb"/>
        <w:rPr>
          <w:rFonts w:ascii="Arial" w:hAnsi="Arial" w:cs="Arial"/>
        </w:rPr>
      </w:pPr>
      <w:r w:rsidRPr="00810F1A">
        <w:rPr>
          <w:rFonts w:ascii="Arial" w:hAnsi="Arial" w:cs="Arial"/>
        </w:rPr>
        <w:t>A description of currently known facts, decisions, or conditions that are expected to have a significant effect on financial position (net position) or that are expected to produce significant differences from current-period results of operations (revenues, expenses, and other changes in net position).</w:t>
      </w:r>
      <w:r w:rsidR="00586FE2">
        <w:rPr>
          <w:rFonts w:ascii="Arial" w:hAnsi="Arial" w:cs="Arial"/>
        </w:rPr>
        <w:t xml:space="preserve">  </w:t>
      </w:r>
      <w:r w:rsidRPr="00810F1A">
        <w:rPr>
          <w:rFonts w:ascii="Arial" w:hAnsi="Arial" w:cs="Arial"/>
        </w:rPr>
        <w:t>Examples of the types of information that should be included in that description, if applicable, include the following:</w:t>
      </w:r>
    </w:p>
    <w:p w14:paraId="0023B653" w14:textId="77777777" w:rsidR="00586FE2" w:rsidRPr="00586FE2" w:rsidRDefault="00586FE2" w:rsidP="00586FE2">
      <w:pPr>
        <w:pStyle w:val="NormalWeb"/>
        <w:rPr>
          <w:rFonts w:ascii="Arial" w:hAnsi="Arial" w:cs="Arial"/>
        </w:rPr>
      </w:pPr>
      <w:r w:rsidRPr="00586FE2">
        <w:rPr>
          <w:rFonts w:ascii="Arial" w:hAnsi="Arial" w:cs="Arial"/>
        </w:rPr>
        <w:t xml:space="preserve">(1) Trends in relevant economic and demographic data, such as changes in population (total or specific age groups), customer base, income levels, building permits, enrollment, and unemployment rates. </w:t>
      </w:r>
    </w:p>
    <w:p w14:paraId="7516449F" w14:textId="77777777" w:rsidR="00586FE2" w:rsidRPr="00586FE2" w:rsidRDefault="00586FE2" w:rsidP="00586FE2">
      <w:pPr>
        <w:pStyle w:val="NormalWeb"/>
        <w:rPr>
          <w:rFonts w:ascii="Arial" w:hAnsi="Arial" w:cs="Arial"/>
        </w:rPr>
      </w:pPr>
      <w:r w:rsidRPr="00586FE2">
        <w:rPr>
          <w:rFonts w:ascii="Arial" w:hAnsi="Arial" w:cs="Arial"/>
        </w:rPr>
        <w:t xml:space="preserve">(2) Relevant factors used to develop the subsequent year’s budget that will provide an indication of how results of operations are expected to change in the subsequent year, such as: (a) Those that are expected to result in changes in the total amount available </w:t>
      </w:r>
      <w:r w:rsidRPr="00586FE2">
        <w:rPr>
          <w:rFonts w:ascii="Arial" w:hAnsi="Arial" w:cs="Arial"/>
        </w:rPr>
        <w:lastRenderedPageBreak/>
        <w:t xml:space="preserve">for appropriation, referring as needed to relevant information about specific revenue sources, for example, changes in tax rates or fee amounts and changes in the economic bases or range of activities, respectively, to which they are applied </w:t>
      </w:r>
    </w:p>
    <w:p w14:paraId="725389FC" w14:textId="77777777" w:rsidR="00586FE2" w:rsidRPr="00586FE2" w:rsidRDefault="00586FE2" w:rsidP="00586FE2">
      <w:pPr>
        <w:pStyle w:val="NormalWeb"/>
        <w:rPr>
          <w:rFonts w:ascii="Arial" w:hAnsi="Arial" w:cs="Arial"/>
        </w:rPr>
      </w:pPr>
      <w:r w:rsidRPr="00586FE2">
        <w:rPr>
          <w:rFonts w:ascii="Arial" w:hAnsi="Arial" w:cs="Arial"/>
        </w:rPr>
        <w:t xml:space="preserve">(b) Those that are expected to result in changes in planned spending, referring as needed to relevant explanatory factors such as inflation; labor contracts; new laws or regulations; and the addition, expansion, elimination, or reduction of programs. </w:t>
      </w:r>
    </w:p>
    <w:p w14:paraId="2CA9BB1A" w14:textId="77777777" w:rsidR="00586FE2" w:rsidRPr="00586FE2" w:rsidRDefault="00586FE2" w:rsidP="00586FE2">
      <w:pPr>
        <w:pStyle w:val="NormalWeb"/>
        <w:rPr>
          <w:rFonts w:ascii="Arial" w:hAnsi="Arial" w:cs="Arial"/>
        </w:rPr>
      </w:pPr>
      <w:r w:rsidRPr="00586FE2">
        <w:rPr>
          <w:rFonts w:ascii="Arial" w:hAnsi="Arial" w:cs="Arial"/>
        </w:rPr>
        <w:t xml:space="preserve">(3) Expected changes in budgetary net position or fund balance. </w:t>
      </w:r>
    </w:p>
    <w:p w14:paraId="067B9BC8" w14:textId="77777777" w:rsidR="00586FE2" w:rsidRPr="00586FE2" w:rsidRDefault="00586FE2" w:rsidP="00586FE2">
      <w:pPr>
        <w:pStyle w:val="NormalWeb"/>
        <w:rPr>
          <w:rFonts w:ascii="Arial" w:hAnsi="Arial" w:cs="Arial"/>
        </w:rPr>
      </w:pPr>
      <w:r w:rsidRPr="00586FE2">
        <w:rPr>
          <w:rFonts w:ascii="Arial" w:hAnsi="Arial" w:cs="Arial"/>
        </w:rPr>
        <w:t xml:space="preserve">(4) Actions the government has taken related to postemployment benefit liabilities, capital asset improvement plans, lessee liabilities, operator liabilities in PPP arrangements, SBITA liabilities, and other long-term financings that will affect the government in a subsequent period. </w:t>
      </w:r>
    </w:p>
    <w:p w14:paraId="4F13F822" w14:textId="77777777" w:rsidR="00586FE2" w:rsidRPr="00586FE2" w:rsidRDefault="00586FE2" w:rsidP="00586FE2">
      <w:pPr>
        <w:pStyle w:val="NormalWeb"/>
        <w:rPr>
          <w:rFonts w:ascii="Arial" w:hAnsi="Arial" w:cs="Arial"/>
        </w:rPr>
      </w:pPr>
      <w:r w:rsidRPr="00586FE2">
        <w:rPr>
          <w:rFonts w:ascii="Arial" w:hAnsi="Arial" w:cs="Arial"/>
        </w:rPr>
        <w:t xml:space="preserve">(5) Actions other parties have taken that will affect the government in a subsequent period, such as new legislation or regulations imposed on the government. </w:t>
      </w:r>
    </w:p>
    <w:p w14:paraId="68135ABA" w14:textId="6BBF0B0F" w:rsidR="00586FE2" w:rsidRDefault="00586FE2" w:rsidP="00586FE2">
      <w:pPr>
        <w:pStyle w:val="NormalWeb"/>
        <w:rPr>
          <w:rFonts w:ascii="Arial" w:hAnsi="Arial" w:cs="Arial"/>
        </w:rPr>
      </w:pPr>
      <w:r w:rsidRPr="00586FE2">
        <w:rPr>
          <w:rFonts w:ascii="Arial" w:hAnsi="Arial" w:cs="Arial"/>
        </w:rPr>
        <w:t>The above examples are not all-inclusive; information about any additional types of currently known facts, decisions, or conditions that are expected to have a significant effect on financial position or to produce significant differences from current-period results of operations should be provided.</w:t>
      </w:r>
    </w:p>
    <w:sectPr w:rsidR="00586FE2" w:rsidSect="00F056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06D8"/>
    <w:multiLevelType w:val="multilevel"/>
    <w:tmpl w:val="980C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53C0A"/>
    <w:multiLevelType w:val="multilevel"/>
    <w:tmpl w:val="2E88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E7F3F"/>
    <w:multiLevelType w:val="multilevel"/>
    <w:tmpl w:val="EB94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51351"/>
    <w:multiLevelType w:val="multilevel"/>
    <w:tmpl w:val="A1BC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433AD"/>
    <w:multiLevelType w:val="multilevel"/>
    <w:tmpl w:val="892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46D3D"/>
    <w:multiLevelType w:val="multilevel"/>
    <w:tmpl w:val="2B42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44225"/>
    <w:multiLevelType w:val="multilevel"/>
    <w:tmpl w:val="A8E6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E48D6"/>
    <w:multiLevelType w:val="multilevel"/>
    <w:tmpl w:val="E56E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41CCC"/>
    <w:multiLevelType w:val="multilevel"/>
    <w:tmpl w:val="EA06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544F4"/>
    <w:multiLevelType w:val="multilevel"/>
    <w:tmpl w:val="F290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E31622"/>
    <w:multiLevelType w:val="multilevel"/>
    <w:tmpl w:val="A2AC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E44EC"/>
    <w:multiLevelType w:val="multilevel"/>
    <w:tmpl w:val="C0F0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7C564B"/>
    <w:multiLevelType w:val="multilevel"/>
    <w:tmpl w:val="7C20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11E16"/>
    <w:multiLevelType w:val="multilevel"/>
    <w:tmpl w:val="C5FC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A36D7"/>
    <w:multiLevelType w:val="multilevel"/>
    <w:tmpl w:val="242E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80F97"/>
    <w:multiLevelType w:val="multilevel"/>
    <w:tmpl w:val="9EA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5871A2"/>
    <w:multiLevelType w:val="multilevel"/>
    <w:tmpl w:val="5F78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BC0C8D"/>
    <w:multiLevelType w:val="hybridMultilevel"/>
    <w:tmpl w:val="021AEA00"/>
    <w:lvl w:ilvl="0" w:tplc="09FC5EF2">
      <w:start w:val="1"/>
      <w:numFmt w:val="low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9470716">
    <w:abstractNumId w:val="8"/>
  </w:num>
  <w:num w:numId="2" w16cid:durableId="775294289">
    <w:abstractNumId w:val="11"/>
  </w:num>
  <w:num w:numId="3" w16cid:durableId="1739981665">
    <w:abstractNumId w:val="12"/>
  </w:num>
  <w:num w:numId="4" w16cid:durableId="886062984">
    <w:abstractNumId w:val="10"/>
  </w:num>
  <w:num w:numId="5" w16cid:durableId="575482312">
    <w:abstractNumId w:val="16"/>
  </w:num>
  <w:num w:numId="6" w16cid:durableId="611937085">
    <w:abstractNumId w:val="13"/>
  </w:num>
  <w:num w:numId="7" w16cid:durableId="333998905">
    <w:abstractNumId w:val="5"/>
  </w:num>
  <w:num w:numId="8" w16cid:durableId="51001622">
    <w:abstractNumId w:val="15"/>
  </w:num>
  <w:num w:numId="9" w16cid:durableId="1547334011">
    <w:abstractNumId w:val="6"/>
  </w:num>
  <w:num w:numId="10" w16cid:durableId="1467359027">
    <w:abstractNumId w:val="9"/>
  </w:num>
  <w:num w:numId="11" w16cid:durableId="1976523017">
    <w:abstractNumId w:val="2"/>
  </w:num>
  <w:num w:numId="12" w16cid:durableId="1231228933">
    <w:abstractNumId w:val="3"/>
  </w:num>
  <w:num w:numId="13" w16cid:durableId="1729912011">
    <w:abstractNumId w:val="1"/>
  </w:num>
  <w:num w:numId="14" w16cid:durableId="1008630223">
    <w:abstractNumId w:val="14"/>
  </w:num>
  <w:num w:numId="15" w16cid:durableId="1625191722">
    <w:abstractNumId w:val="0"/>
  </w:num>
  <w:num w:numId="16" w16cid:durableId="1914075670">
    <w:abstractNumId w:val="7"/>
  </w:num>
  <w:num w:numId="17" w16cid:durableId="517893431">
    <w:abstractNumId w:val="4"/>
  </w:num>
  <w:num w:numId="18" w16cid:durableId="3604736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74B"/>
    <w:rsid w:val="000724F8"/>
    <w:rsid w:val="0009303F"/>
    <w:rsid w:val="000A7339"/>
    <w:rsid w:val="00101952"/>
    <w:rsid w:val="001E44EF"/>
    <w:rsid w:val="00517898"/>
    <w:rsid w:val="00585ECD"/>
    <w:rsid w:val="00586FE2"/>
    <w:rsid w:val="006C1EC0"/>
    <w:rsid w:val="00810F1A"/>
    <w:rsid w:val="008A4295"/>
    <w:rsid w:val="008C1964"/>
    <w:rsid w:val="008F5A47"/>
    <w:rsid w:val="00952A69"/>
    <w:rsid w:val="00A16503"/>
    <w:rsid w:val="00B064F2"/>
    <w:rsid w:val="00B85606"/>
    <w:rsid w:val="00C03764"/>
    <w:rsid w:val="00CE074B"/>
    <w:rsid w:val="00F05624"/>
    <w:rsid w:val="00F8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8A2A6"/>
  <w15:docId w15:val="{4696EA69-3AD0-48E4-9591-51103774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056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027674">
      <w:bodyDiv w:val="1"/>
      <w:marLeft w:val="0"/>
      <w:marRight w:val="0"/>
      <w:marTop w:val="0"/>
      <w:marBottom w:val="0"/>
      <w:divBdr>
        <w:top w:val="none" w:sz="0" w:space="0" w:color="auto"/>
        <w:left w:val="none" w:sz="0" w:space="0" w:color="auto"/>
        <w:bottom w:val="none" w:sz="0" w:space="0" w:color="auto"/>
        <w:right w:val="none" w:sz="0" w:space="0" w:color="auto"/>
      </w:divBdr>
      <w:divsChild>
        <w:div w:id="1164708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1842</Words>
  <Characters>10469</Characters>
  <Application>Microsoft Office Word</Application>
  <DocSecurity>0</DocSecurity>
  <Lines>232</Lines>
  <Paragraphs>116</Paragraphs>
  <ScaleCrop>false</ScaleCrop>
  <HeadingPairs>
    <vt:vector size="2" baseType="variant">
      <vt:variant>
        <vt:lpstr>Title</vt:lpstr>
      </vt:variant>
      <vt:variant>
        <vt:i4>1</vt:i4>
      </vt:variant>
    </vt:vector>
  </HeadingPairs>
  <TitlesOfParts>
    <vt:vector size="1" baseType="lpstr">
      <vt:lpstr>MANAGEMENT’S DISCUSSION AND ANALYSIS (MD&amp;A)</vt:lpstr>
    </vt:vector>
  </TitlesOfParts>
  <Company>State of South Dakota</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MANAGEMENT’S DISCUSSION AND ANALYSIS (MD&amp;A)</dc:title>
  <dc:creator>lgpr13595</dc:creator>
  <cp:lastModifiedBy>Fortin, Rod</cp:lastModifiedBy>
  <cp:revision>10</cp:revision>
  <dcterms:created xsi:type="dcterms:W3CDTF">2018-06-18T21:07:00Z</dcterms:created>
  <dcterms:modified xsi:type="dcterms:W3CDTF">2026-05-13T23:15:00Z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2025-06-27T03:43:39Z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f25e3de6-47ac-4718-8bf5-1ae48d0bf2cb</vt:lpwstr>
  </property>
  <property fmtid="{D5CDD505-2E9C-101B-9397-08002B2CF9AE}" pid="8" name="MSIP_Label_ec3b1a8e-41ed-4bc7-92d1-0305fbefd661_ContentBits">
    <vt:lpwstr>0</vt:lpwstr>
  </property>
</Properties>
</file>